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DC" w:rsidRPr="00591480" w:rsidRDefault="00483BDC" w:rsidP="00483BDC">
      <w:pPr>
        <w:spacing w:line="520" w:lineRule="exact"/>
        <w:jc w:val="center"/>
        <w:rPr>
          <w:rFonts w:ascii="方正大标宋简体" w:eastAsia="方正大标宋简体" w:hAnsi="方正大标宋简体" w:cs="Times New Roman"/>
          <w:sz w:val="44"/>
          <w:szCs w:val="44"/>
        </w:rPr>
      </w:pPr>
      <w:r w:rsidRPr="00591480">
        <w:rPr>
          <w:rFonts w:ascii="方正大标宋简体" w:eastAsia="方正大标宋简体" w:hAnsi="方正大标宋简体" w:cs="Times New Roman" w:hint="eastAsia"/>
          <w:sz w:val="44"/>
          <w:szCs w:val="44"/>
        </w:rPr>
        <w:t>2018年“挑战杯——彩虹人生”</w:t>
      </w:r>
      <w:r>
        <w:rPr>
          <w:rFonts w:ascii="方正大标宋简体" w:eastAsia="方正大标宋简体" w:hAnsi="方正大标宋简体" w:cs="Times New Roman" w:hint="eastAsia"/>
          <w:sz w:val="44"/>
          <w:szCs w:val="44"/>
        </w:rPr>
        <w:t>全国</w:t>
      </w:r>
      <w:r w:rsidRPr="00591480">
        <w:rPr>
          <w:rFonts w:ascii="方正大标宋简体" w:eastAsia="方正大标宋简体" w:hAnsi="方正大标宋简体" w:cs="Times New Roman" w:hint="eastAsia"/>
          <w:sz w:val="44"/>
          <w:szCs w:val="44"/>
        </w:rPr>
        <w:t>职业学校创新创效创业大赛问答</w:t>
      </w:r>
    </w:p>
    <w:p w:rsidR="00483BDC" w:rsidRPr="00591480" w:rsidRDefault="00483BDC" w:rsidP="00483BDC">
      <w:pPr>
        <w:spacing w:line="520" w:lineRule="exact"/>
        <w:rPr>
          <w:rFonts w:ascii="Times New Roman" w:eastAsia="方正黑体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>1. 2018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“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挑战杯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——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彩虹人生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”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全国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职业学校创新创效创业大赛的整体推进步骤和时间安排是怎样的？全国复赛和决赛在哪里举办？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大赛主体赛事分省级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比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赛、全国复赛、全国决赛三个阶段进行。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2018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月至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月，各省（自治区、直辖市）根据大赛要求组织省级比赛或作品遴选，并按时在大赛官方网站（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http:// chrs.chuangqingchun.net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）进行省级参赛作品的网络报备和申报。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2018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15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日前，各省（自治区、直辖市）汇总经省赛或遴选产生的参加全国复赛的作品，对作品申报表及相关材料的填写情况进行把关，按照统一要求报送至全国组委会办公室。全国组委会不接受学校或个人的申报。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2018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月初，举行全国复赛。全国评委会对参赛作品进行评审，选出若干参赛作品进入决赛，并书面通知各省（自治区、直辖市）团委。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2018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月，举行全国决赛。全国评委会和组委会将通过相应评审环节，根据实际情况评出相关奖项。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本届大赛的全国复赛和决赛在江苏省南京市举办。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>2. 2018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“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挑战杯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——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彩虹人生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”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全国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职业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学校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创新创效创业大赛在赛项设置上有何重大变化？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围绕职业院校的人才培养目标和产教融合、校企合作人才培养模式，聚焦职业院校学生的特点需求，结合前两届大赛作品申报情况和评审专家意见，本届大赛对竞赛项目做了相关调整，中职和高职两个组别均设置创意设计竞赛、生产工艺革新与工作流程优化竞赛两类竞赛项目。相较上届大赛，中职</w:t>
      </w:r>
      <w:proofErr w:type="gramStart"/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组取消</w:t>
      </w:r>
      <w:proofErr w:type="gramEnd"/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了创业计划竞赛，增设生产工艺革新与工作流程优化竞赛；高职</w:t>
      </w:r>
      <w:proofErr w:type="gramStart"/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组取消</w:t>
      </w:r>
      <w:proofErr w:type="gramEnd"/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了创业计划竞赛和社会调研竞赛。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此外，根据前两届复赛作品实际申报情况，在创意设计类竞赛中，取消“服务创意设计类”竞赛小项，保留“科技发明制作类”和“工业设计类”两个竞赛小项。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3. 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哪些对象可以报名参加大赛？以何种形式参赛？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大赛设中职组和高职组两个组别，参赛对象包括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2018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日以前正式注册的全日制各类中职学校（包括普通中等专业学校、职业高中、技工学校和成人中等专业学校）和高职院校（不包括有高职的本科院校）在校学生（含技师学院高级工班、预备技师班学生）。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作品以学校为单位申报，选手除以个人形式参赛外，鼓励组成学科优势互补、专业配备科学、人员结构合理的小组以团队形式参赛。团队参赛小组的人数一般在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人以下。每个参赛作品原则上配备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名指导教师，最多不超过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名。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4. 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省级赛事是如何组织的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?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大赛分为省级和全国两级赛事（有条件的学校可举办校级赛事）。省级赛事原则上由各省（自治区、直辖市）自行决定比赛形式，并负责参加全国复赛作品的组织申报。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5. 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对全国复赛作品进行资格审查的具体要求有哪些？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）作品必须在是大赛决赛前两年内完成的作品。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）个人作品，申报者需承担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60%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以上的工作，作品鉴定证书、专利证书或发表的有关作品上的署名均应为第一作者，合作者必须是学生且不得超过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人。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）作者超过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人或者不超过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人但无法区分第一作者的作品，须申报集体作品，集体作品的作者必须均为在校学生。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）有合作者的个人作品或集体作品，均按学历最高的作者划分组别。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）须提交证明的作品提交证明材料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(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详见章程第二十一条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)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）以申报者为单位，报送作品（个人作品或集体作品）不得超过</w:t>
      </w:r>
      <w:r w:rsidRPr="00591480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91480">
        <w:rPr>
          <w:rFonts w:ascii="Times New Roman" w:eastAsia="方正仿宋简体" w:hAnsi="Times New Roman" w:cs="Times New Roman" w:hint="eastAsia"/>
          <w:sz w:val="32"/>
          <w:szCs w:val="32"/>
        </w:rPr>
        <w:t>件，不得在不同竞赛组别、类别中兼报。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6. 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入围全国复赛的作品总数是多少？各省入围全国复赛的作品配额是如何确定的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? 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本届大赛入围全国复赛作品的总数控制在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1000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件，其中</w:t>
      </w:r>
      <w:proofErr w:type="gramStart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中</w:t>
      </w:r>
      <w:proofErr w:type="gramEnd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职组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400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件，高职组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600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件。为保证作品质量，本届大赛对各省报送全国复赛的作品</w:t>
      </w:r>
      <w:proofErr w:type="gramStart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数不再</w:t>
      </w:r>
      <w:proofErr w:type="gramEnd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进行平均分配，而是根据各省职业学校数、在校学生数和工作基础进行分配，具体分配情况详见大赛通知。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7. 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全国复赛和决赛采取何种形式进行评审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?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全国赛事分为复赛和决赛两个阶段。全国复赛作品以文本方式进行评审，图纸、技术参数说明等为辅。全国决赛采用现场展示、</w:t>
      </w:r>
      <w:proofErr w:type="gramStart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问辩方式</w:t>
      </w:r>
      <w:proofErr w:type="gramEnd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进行。</w:t>
      </w: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83BDC" w:rsidRPr="00591480" w:rsidRDefault="00483BDC" w:rsidP="00483BDC">
      <w:pPr>
        <w:spacing w:line="52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591480">
        <w:rPr>
          <w:rFonts w:ascii="Times New Roman" w:eastAsia="方正黑体简体" w:hAnsi="Times New Roman" w:cs="Times New Roman"/>
          <w:sz w:val="32"/>
          <w:szCs w:val="32"/>
        </w:rPr>
        <w:t xml:space="preserve">8. </w:t>
      </w:r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大赛奖项如何设置</w:t>
      </w:r>
      <w:r w:rsidRPr="00591480">
        <w:rPr>
          <w:rFonts w:ascii="Times New Roman" w:eastAsia="方正黑体简体" w:hAnsi="Times New Roman" w:cs="Times New Roman"/>
          <w:sz w:val="32"/>
          <w:szCs w:val="32"/>
        </w:rPr>
        <w:t>?</w:t>
      </w:r>
    </w:p>
    <w:p w:rsidR="008B5E4F" w:rsidRPr="00483BDC" w:rsidRDefault="00483BDC" w:rsidP="00483BDC">
      <w:pPr>
        <w:ind w:firstLineChars="200" w:firstLine="640"/>
      </w:pPr>
      <w:bookmarkStart w:id="0" w:name="_GoBack"/>
      <w:bookmarkEnd w:id="0"/>
      <w:r w:rsidRPr="00591480">
        <w:rPr>
          <w:rFonts w:ascii="Times New Roman" w:eastAsia="方正黑体简体" w:hAnsi="Times New Roman" w:cs="Times New Roman" w:hint="eastAsia"/>
          <w:sz w:val="32"/>
          <w:szCs w:val="32"/>
        </w:rPr>
        <w:t>答：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全国复赛评审委员会对各省（自治区、直辖市）报送的复赛参赛作品进行预审，按照竞赛类别淘汰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20%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作品</w:t>
      </w:r>
      <w:proofErr w:type="gramStart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不</w:t>
      </w:r>
      <w:proofErr w:type="gramEnd"/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获奖，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40%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左右的参赛作品获全国三等奖，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40%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入围决赛。入围决赛的作品，原则上按照各类别入围复赛参赛作品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3%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10%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 w:rsidRPr="00591480">
        <w:rPr>
          <w:rFonts w:ascii="Times New Roman" w:eastAsia="方正仿宋简体" w:hAnsi="Times New Roman" w:cs="Times New Roman"/>
          <w:kern w:val="0"/>
          <w:sz w:val="32"/>
          <w:szCs w:val="32"/>
        </w:rPr>
        <w:t>27%</w:t>
      </w:r>
      <w:r w:rsidRPr="00591480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的比例评出特等奖、一等奖、二等奖。</w:t>
      </w:r>
    </w:p>
    <w:sectPr w:rsidR="008B5E4F" w:rsidRPr="0048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63" w:rsidRDefault="004E1963" w:rsidP="00482C92">
      <w:r>
        <w:separator/>
      </w:r>
    </w:p>
  </w:endnote>
  <w:endnote w:type="continuationSeparator" w:id="0">
    <w:p w:rsidR="004E1963" w:rsidRDefault="004E1963" w:rsidP="0048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63" w:rsidRDefault="004E1963" w:rsidP="00482C92">
      <w:r>
        <w:separator/>
      </w:r>
    </w:p>
  </w:footnote>
  <w:footnote w:type="continuationSeparator" w:id="0">
    <w:p w:rsidR="004E1963" w:rsidRDefault="004E1963" w:rsidP="0048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DF7"/>
    <w:multiLevelType w:val="hybridMultilevel"/>
    <w:tmpl w:val="17266B68"/>
    <w:lvl w:ilvl="0" w:tplc="3360683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D"/>
    <w:rsid w:val="000203E4"/>
    <w:rsid w:val="00075091"/>
    <w:rsid w:val="000C0035"/>
    <w:rsid w:val="000C4123"/>
    <w:rsid w:val="000D5CFE"/>
    <w:rsid w:val="000F2035"/>
    <w:rsid w:val="0010423B"/>
    <w:rsid w:val="00117BD9"/>
    <w:rsid w:val="00135673"/>
    <w:rsid w:val="001365B1"/>
    <w:rsid w:val="00140EC6"/>
    <w:rsid w:val="001622AD"/>
    <w:rsid w:val="0018260B"/>
    <w:rsid w:val="0018557F"/>
    <w:rsid w:val="001B3E12"/>
    <w:rsid w:val="001B6B47"/>
    <w:rsid w:val="001C20A9"/>
    <w:rsid w:val="001D7535"/>
    <w:rsid w:val="0022202A"/>
    <w:rsid w:val="00225F37"/>
    <w:rsid w:val="00235055"/>
    <w:rsid w:val="00236A18"/>
    <w:rsid w:val="0025142F"/>
    <w:rsid w:val="00264344"/>
    <w:rsid w:val="002700DD"/>
    <w:rsid w:val="002B1603"/>
    <w:rsid w:val="002E0B30"/>
    <w:rsid w:val="002F0044"/>
    <w:rsid w:val="003077E0"/>
    <w:rsid w:val="00317928"/>
    <w:rsid w:val="0033010B"/>
    <w:rsid w:val="00384D18"/>
    <w:rsid w:val="003A2360"/>
    <w:rsid w:val="003D36BE"/>
    <w:rsid w:val="00422C5D"/>
    <w:rsid w:val="0043756E"/>
    <w:rsid w:val="00444658"/>
    <w:rsid w:val="00452121"/>
    <w:rsid w:val="004548E5"/>
    <w:rsid w:val="00465258"/>
    <w:rsid w:val="00482C92"/>
    <w:rsid w:val="00483BDC"/>
    <w:rsid w:val="0048402A"/>
    <w:rsid w:val="004845BF"/>
    <w:rsid w:val="00496343"/>
    <w:rsid w:val="004A1B21"/>
    <w:rsid w:val="004A7643"/>
    <w:rsid w:val="004B38C7"/>
    <w:rsid w:val="004C3364"/>
    <w:rsid w:val="004E1462"/>
    <w:rsid w:val="004E1963"/>
    <w:rsid w:val="0051153B"/>
    <w:rsid w:val="0054606E"/>
    <w:rsid w:val="0059322A"/>
    <w:rsid w:val="005B6B90"/>
    <w:rsid w:val="005C3CA9"/>
    <w:rsid w:val="005C78A2"/>
    <w:rsid w:val="005F2D3F"/>
    <w:rsid w:val="00622A28"/>
    <w:rsid w:val="006347BB"/>
    <w:rsid w:val="00671051"/>
    <w:rsid w:val="006B675A"/>
    <w:rsid w:val="006C2B59"/>
    <w:rsid w:val="006E4B8A"/>
    <w:rsid w:val="006F4EEB"/>
    <w:rsid w:val="007328B0"/>
    <w:rsid w:val="007345D6"/>
    <w:rsid w:val="00766741"/>
    <w:rsid w:val="00776CEB"/>
    <w:rsid w:val="0078331D"/>
    <w:rsid w:val="007B1666"/>
    <w:rsid w:val="007C6C0B"/>
    <w:rsid w:val="007D5991"/>
    <w:rsid w:val="007F2D74"/>
    <w:rsid w:val="007F7A21"/>
    <w:rsid w:val="00827C2B"/>
    <w:rsid w:val="008451B0"/>
    <w:rsid w:val="008562AD"/>
    <w:rsid w:val="008A36F6"/>
    <w:rsid w:val="008B5E4F"/>
    <w:rsid w:val="00902F63"/>
    <w:rsid w:val="00906517"/>
    <w:rsid w:val="00907A4A"/>
    <w:rsid w:val="00926CD1"/>
    <w:rsid w:val="00952123"/>
    <w:rsid w:val="009922E4"/>
    <w:rsid w:val="0099481E"/>
    <w:rsid w:val="00A164BB"/>
    <w:rsid w:val="00A306A6"/>
    <w:rsid w:val="00A60E54"/>
    <w:rsid w:val="00A70BB9"/>
    <w:rsid w:val="00A734CD"/>
    <w:rsid w:val="00AA01E3"/>
    <w:rsid w:val="00AC6CA5"/>
    <w:rsid w:val="00B03976"/>
    <w:rsid w:val="00B13BE6"/>
    <w:rsid w:val="00B22A46"/>
    <w:rsid w:val="00B268F9"/>
    <w:rsid w:val="00B30037"/>
    <w:rsid w:val="00B5402C"/>
    <w:rsid w:val="00BC0C46"/>
    <w:rsid w:val="00BD0C83"/>
    <w:rsid w:val="00C02D38"/>
    <w:rsid w:val="00C15E21"/>
    <w:rsid w:val="00C25D02"/>
    <w:rsid w:val="00C503E9"/>
    <w:rsid w:val="00CF2B8D"/>
    <w:rsid w:val="00D25912"/>
    <w:rsid w:val="00D261A1"/>
    <w:rsid w:val="00D51CAF"/>
    <w:rsid w:val="00D7753D"/>
    <w:rsid w:val="00D83459"/>
    <w:rsid w:val="00D9162A"/>
    <w:rsid w:val="00DE6382"/>
    <w:rsid w:val="00E13A68"/>
    <w:rsid w:val="00E42F33"/>
    <w:rsid w:val="00EA10CD"/>
    <w:rsid w:val="00EB7822"/>
    <w:rsid w:val="00EC2E6B"/>
    <w:rsid w:val="00EC66FB"/>
    <w:rsid w:val="00F0010D"/>
    <w:rsid w:val="00F2215A"/>
    <w:rsid w:val="00F323AF"/>
    <w:rsid w:val="00F45E20"/>
    <w:rsid w:val="00F705A1"/>
    <w:rsid w:val="00F73DFF"/>
    <w:rsid w:val="00F74E2D"/>
    <w:rsid w:val="00F843BC"/>
    <w:rsid w:val="00F85001"/>
    <w:rsid w:val="00F97D01"/>
    <w:rsid w:val="00FA0FB8"/>
    <w:rsid w:val="00FA33A3"/>
    <w:rsid w:val="00FA37E1"/>
    <w:rsid w:val="00FD1B29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C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C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C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李骥</dc:creator>
  <cp:lastModifiedBy>李骥</cp:lastModifiedBy>
  <cp:revision>74</cp:revision>
  <dcterms:created xsi:type="dcterms:W3CDTF">2018-04-23T00:52:00Z</dcterms:created>
  <dcterms:modified xsi:type="dcterms:W3CDTF">2018-05-15T00:20:00Z</dcterms:modified>
</cp:coreProperties>
</file>